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8FE2A">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b/>
          <w:sz w:val="36"/>
          <w:szCs w:val="36"/>
        </w:rPr>
      </w:pPr>
      <w:r>
        <w:rPr>
          <w:rFonts w:hint="eastAsia"/>
          <w:b/>
          <w:sz w:val="44"/>
          <w:szCs w:val="44"/>
        </w:rPr>
        <w:t>川投（资阳）燃气发电有限公司</w:t>
      </w:r>
    </w:p>
    <w:p w14:paraId="2117D715">
      <w:pPr>
        <w:pStyle w:val="4"/>
        <w:jc w:val="center"/>
        <w:rPr>
          <w:rFonts w:hint="default" w:eastAsia="宋体"/>
          <w:b/>
          <w:sz w:val="36"/>
          <w:szCs w:val="36"/>
          <w:lang w:val="en-US" w:eastAsia="zh-CN"/>
        </w:rPr>
      </w:pPr>
      <w:r>
        <w:rPr>
          <w:rFonts w:hint="eastAsia"/>
          <w:b/>
          <w:sz w:val="44"/>
          <w:szCs w:val="44"/>
          <w:lang w:val="en-US" w:eastAsia="zh-CN"/>
        </w:rPr>
        <w:t>2026-2028年度</w:t>
      </w:r>
      <w:r>
        <w:rPr>
          <w:rFonts w:hint="eastAsia"/>
          <w:b/>
          <w:sz w:val="44"/>
          <w:szCs w:val="44"/>
          <w:lang w:eastAsia="zh-CN"/>
        </w:rPr>
        <w:t>安全阀校验项目</w:t>
      </w:r>
    </w:p>
    <w:p w14:paraId="6BB4A0D3">
      <w:pPr>
        <w:pStyle w:val="3"/>
        <w:numPr>
          <w:numId w:val="0"/>
        </w:numPr>
        <w:spacing w:before="0" w:after="0" w:line="560" w:lineRule="exact"/>
        <w:ind w:leftChars="0"/>
        <w:jc w:val="center"/>
        <w:rPr>
          <w:rFonts w:ascii="方正小标宋简体" w:hAnsi="方正小标宋简体" w:eastAsia="方正小标宋简体" w:cs="方正小标宋简体"/>
        </w:rPr>
      </w:pPr>
      <w:bookmarkStart w:id="0" w:name="_Toc2477"/>
      <w:bookmarkStart w:id="1" w:name="_Toc4862"/>
      <w:bookmarkStart w:id="2" w:name="_Toc30924"/>
      <w:bookmarkStart w:id="3" w:name="_Toc27083"/>
      <w:bookmarkStart w:id="4" w:name="_Toc10971"/>
      <w:bookmarkStart w:id="5" w:name="_Toc21938"/>
      <w:bookmarkStart w:id="6" w:name="_Toc200"/>
      <w:bookmarkStart w:id="7" w:name="_Toc1152"/>
      <w:r>
        <w:rPr>
          <w:rFonts w:hint="eastAsia" w:ascii="方正小标宋简体" w:hAnsi="方正小标宋简体" w:eastAsia="方正小标宋简体" w:cs="方正小标宋简体"/>
          <w:lang w:eastAsia="zh-CN"/>
        </w:rPr>
        <w:t>询比采购</w:t>
      </w:r>
      <w:r>
        <w:rPr>
          <w:rFonts w:hint="eastAsia" w:ascii="方正小标宋简体" w:hAnsi="方正小标宋简体" w:eastAsia="方正小标宋简体" w:cs="方正小标宋简体"/>
        </w:rPr>
        <w:t>公告</w:t>
      </w:r>
      <w:bookmarkEnd w:id="0"/>
      <w:bookmarkEnd w:id="1"/>
      <w:bookmarkEnd w:id="2"/>
      <w:bookmarkEnd w:id="3"/>
      <w:bookmarkEnd w:id="4"/>
      <w:bookmarkEnd w:id="5"/>
      <w:bookmarkEnd w:id="6"/>
      <w:bookmarkEnd w:id="7"/>
    </w:p>
    <w:p w14:paraId="0CFEEE65">
      <w:pPr>
        <w:spacing w:line="560" w:lineRule="exact"/>
        <w:ind w:firstLine="480" w:firstLineChars="200"/>
        <w:rPr>
          <w:rFonts w:hint="eastAsia" w:ascii="仿宋_GB2312" w:eastAsia="仿宋_GB2312"/>
          <w:sz w:val="24"/>
        </w:rPr>
      </w:pPr>
      <w:r>
        <w:rPr>
          <w:rFonts w:hint="eastAsia" w:ascii="仿宋_GB2312" w:eastAsia="仿宋_GB2312"/>
          <w:sz w:val="24"/>
        </w:rPr>
        <w:t>川投（资阳）燃气发电有限公司（以下简称</w:t>
      </w:r>
      <w:r>
        <w:rPr>
          <w:rFonts w:hint="eastAsia" w:ascii="仿宋_GB2312" w:eastAsia="仿宋_GB2312"/>
          <w:sz w:val="24"/>
          <w:lang w:val="zh-CN"/>
        </w:rPr>
        <w:t>“</w:t>
      </w:r>
      <w:r>
        <w:rPr>
          <w:rFonts w:hint="eastAsia" w:ascii="仿宋_GB2312" w:eastAsia="仿宋_GB2312"/>
          <w:sz w:val="24"/>
        </w:rPr>
        <w:t>资阳气电”或</w:t>
      </w:r>
      <w:r>
        <w:rPr>
          <w:rFonts w:hint="eastAsia" w:ascii="仿宋_GB2312" w:eastAsia="仿宋_GB2312"/>
          <w:sz w:val="24"/>
          <w:lang w:val="zh-CN"/>
        </w:rPr>
        <w:t>“采购人</w:t>
      </w:r>
      <w:r>
        <w:rPr>
          <w:rFonts w:hint="eastAsia" w:ascii="仿宋_GB2312" w:eastAsia="仿宋_GB2312"/>
          <w:sz w:val="24"/>
        </w:rPr>
        <w:t>”）成立于2021年12月16日，由四川川投燃气发电集团有限责任公司全资组建，注册资本8亿元，负责川投集团资阳燃气电站新建工程项目的建设和运营。项目地点在四川省资阳市安岳县永顺镇永安路218号，距永顺镇约0.7km，距安岳县约6km，紧邻319国道。规划4台H级燃气发电机组，分两期建设。一期建设</w:t>
      </w:r>
      <w:r>
        <w:rPr>
          <w:rFonts w:hint="eastAsia" w:ascii="仿宋_GB2312" w:eastAsia="仿宋_GB2312"/>
          <w:sz w:val="24"/>
          <w:lang w:eastAsia="zh-CN"/>
        </w:rPr>
        <w:t>2台东方电气/三菱公司M701J重型燃气轮机，组成两套 “一拖一”单轴燃气</w:t>
      </w:r>
      <w:r>
        <w:rPr>
          <w:rFonts w:hint="eastAsia" w:ascii="仿宋_GB2312" w:eastAsia="仿宋_GB2312"/>
          <w:sz w:val="24"/>
          <w:lang w:val="en-US" w:eastAsia="zh-CN"/>
        </w:rPr>
        <w:t>-</w:t>
      </w:r>
      <w:r>
        <w:rPr>
          <w:rFonts w:hint="eastAsia" w:ascii="仿宋_GB2312" w:eastAsia="仿宋_GB2312"/>
          <w:sz w:val="24"/>
          <w:lang w:eastAsia="zh-CN"/>
        </w:rPr>
        <w:t>蒸汽联合循环机组，同步建设烟气脱硝装置。每套机组包括1台干式低NOx 燃气轮机、1台发电机、1台蒸汽轮机、1台西子清洁能源装备制造股份有限公司配套的无补燃三压再热型余热锅炉（配脱硝装置）及其相关的辅助设备，</w:t>
      </w:r>
      <w:r>
        <w:rPr>
          <w:rFonts w:hint="eastAsia" w:ascii="仿宋_GB2312" w:eastAsia="仿宋_GB2312"/>
          <w:sz w:val="24"/>
        </w:rPr>
        <w:t>机组年</w:t>
      </w:r>
      <w:r>
        <w:rPr>
          <w:rFonts w:hint="eastAsia" w:ascii="仿宋_GB2312" w:eastAsia="仿宋_GB2312"/>
          <w:sz w:val="24"/>
          <w:lang w:val="en-US" w:eastAsia="zh-CN"/>
        </w:rPr>
        <w:t>设计</w:t>
      </w:r>
      <w:r>
        <w:rPr>
          <w:rFonts w:hint="eastAsia" w:ascii="仿宋_GB2312" w:eastAsia="仿宋_GB2312"/>
          <w:sz w:val="24"/>
        </w:rPr>
        <w:t>发电利用小时数</w:t>
      </w:r>
      <w:r>
        <w:rPr>
          <w:rFonts w:hint="eastAsia" w:ascii="仿宋_GB2312" w:eastAsia="仿宋_GB2312"/>
          <w:sz w:val="24"/>
          <w:lang w:val="en-US" w:eastAsia="zh-CN"/>
        </w:rPr>
        <w:t>25</w:t>
      </w:r>
      <w:r>
        <w:rPr>
          <w:rFonts w:hint="eastAsia" w:ascii="仿宋_GB2312" w:eastAsia="仿宋_GB2312"/>
          <w:sz w:val="24"/>
        </w:rPr>
        <w:t>00小时</w:t>
      </w:r>
      <w:r>
        <w:rPr>
          <w:rFonts w:hint="eastAsia" w:ascii="仿宋_GB2312" w:eastAsia="仿宋_GB2312"/>
          <w:sz w:val="24"/>
          <w:lang w:val="en-US" w:eastAsia="zh-CN"/>
        </w:rPr>
        <w:t>；2台机组分别于2024年6月、9月投产，总装机容量1480MW</w:t>
      </w:r>
      <w:r>
        <w:rPr>
          <w:rFonts w:hint="eastAsia" w:ascii="仿宋_GB2312" w:eastAsia="仿宋_GB2312"/>
          <w:sz w:val="24"/>
          <w:lang w:eastAsia="zh-CN"/>
        </w:rPr>
        <w:t>。</w:t>
      </w:r>
    </w:p>
    <w:p w14:paraId="31A348FE">
      <w:pPr>
        <w:spacing w:line="560" w:lineRule="exact"/>
        <w:ind w:firstLine="480" w:firstLineChars="200"/>
        <w:rPr>
          <w:rFonts w:hint="eastAsia" w:ascii="仿宋_GB2312" w:eastAsia="仿宋_GB2312"/>
          <w:sz w:val="24"/>
          <w:highlight w:val="none"/>
        </w:rPr>
      </w:pPr>
      <w:r>
        <w:rPr>
          <w:rFonts w:hint="eastAsia" w:ascii="仿宋_GB2312" w:eastAsia="仿宋_GB2312"/>
          <w:sz w:val="24"/>
          <w:highlight w:val="none"/>
        </w:rPr>
        <w:t>资阳气电拟通过</w:t>
      </w:r>
      <w:r>
        <w:rPr>
          <w:rFonts w:hint="eastAsia" w:ascii="仿宋_GB2312" w:eastAsia="仿宋_GB2312"/>
          <w:sz w:val="24"/>
          <w:highlight w:val="none"/>
          <w:lang w:eastAsia="zh-CN"/>
        </w:rPr>
        <w:t>询比采购</w:t>
      </w:r>
      <w:r>
        <w:rPr>
          <w:rFonts w:hint="eastAsia" w:ascii="仿宋_GB2312" w:eastAsia="仿宋_GB2312"/>
          <w:sz w:val="24"/>
          <w:highlight w:val="none"/>
        </w:rPr>
        <w:t>方式确定</w:t>
      </w:r>
      <w:r>
        <w:rPr>
          <w:rFonts w:hint="eastAsia" w:ascii="仿宋_GB2312" w:eastAsia="仿宋_GB2312"/>
          <w:sz w:val="24"/>
          <w:highlight w:val="none"/>
          <w:lang w:eastAsia="zh-CN"/>
        </w:rPr>
        <w:t>2026-2028年度安全阀校验项目</w:t>
      </w:r>
      <w:r>
        <w:rPr>
          <w:rFonts w:hint="eastAsia" w:ascii="仿宋_GB2312" w:eastAsia="仿宋_GB2312"/>
          <w:sz w:val="24"/>
          <w:highlight w:val="none"/>
          <w:lang w:val="en-US" w:eastAsia="zh-CN"/>
        </w:rPr>
        <w:t>成交</w:t>
      </w:r>
      <w:r>
        <w:rPr>
          <w:rFonts w:hint="eastAsia" w:ascii="仿宋_GB2312" w:eastAsia="仿宋_GB2312"/>
          <w:sz w:val="24"/>
          <w:highlight w:val="none"/>
        </w:rPr>
        <w:t>人，欢迎符合条件的</w:t>
      </w:r>
      <w:r>
        <w:rPr>
          <w:rFonts w:hint="eastAsia" w:ascii="仿宋_GB2312" w:eastAsia="仿宋_GB2312"/>
          <w:sz w:val="24"/>
          <w:highlight w:val="none"/>
          <w:lang w:val="en-US" w:eastAsia="zh-CN"/>
        </w:rPr>
        <w:t>响应人</w:t>
      </w:r>
      <w:r>
        <w:rPr>
          <w:rFonts w:hint="eastAsia" w:ascii="仿宋_GB2312" w:eastAsia="仿宋_GB2312"/>
          <w:sz w:val="24"/>
          <w:highlight w:val="none"/>
        </w:rPr>
        <w:t>参加</w:t>
      </w:r>
      <w:r>
        <w:rPr>
          <w:rFonts w:hint="eastAsia" w:ascii="仿宋_GB2312" w:eastAsia="仿宋_GB2312"/>
          <w:sz w:val="24"/>
          <w:highlight w:val="none"/>
          <w:lang w:eastAsia="zh-CN"/>
        </w:rPr>
        <w:t>询比采购</w:t>
      </w:r>
      <w:r>
        <w:rPr>
          <w:rFonts w:hint="eastAsia" w:ascii="仿宋_GB2312" w:eastAsia="仿宋_GB2312"/>
          <w:sz w:val="24"/>
          <w:highlight w:val="none"/>
        </w:rPr>
        <w:t>活动。</w:t>
      </w:r>
    </w:p>
    <w:p w14:paraId="3D121B75">
      <w:pPr>
        <w:numPr>
          <w:ilvl w:val="0"/>
          <w:numId w:val="2"/>
        </w:numPr>
        <w:spacing w:line="560" w:lineRule="exact"/>
        <w:ind w:left="0" w:leftChars="0" w:firstLine="420" w:firstLineChars="0"/>
        <w:outlineLvl w:val="1"/>
        <w:rPr>
          <w:rFonts w:hint="eastAsia" w:ascii="宋体" w:hAnsi="宋体" w:eastAsia="宋体" w:cs="宋体"/>
          <w:b/>
          <w:bCs/>
          <w:kern w:val="2"/>
          <w:sz w:val="24"/>
          <w:highlight w:val="none"/>
        </w:rPr>
      </w:pPr>
      <w:bookmarkStart w:id="8" w:name="_Toc6288"/>
      <w:bookmarkStart w:id="9" w:name="_Toc1633"/>
      <w:bookmarkStart w:id="10" w:name="_Toc29571"/>
      <w:bookmarkStart w:id="11" w:name="_Toc12189"/>
      <w:bookmarkStart w:id="12" w:name="_Toc3883"/>
      <w:bookmarkStart w:id="13" w:name="_Toc9438"/>
      <w:bookmarkStart w:id="14" w:name="_Toc3962"/>
      <w:r>
        <w:rPr>
          <w:rFonts w:hint="eastAsia" w:ascii="宋体" w:hAnsi="宋体" w:cs="宋体"/>
          <w:b/>
          <w:bCs/>
          <w:kern w:val="2"/>
          <w:sz w:val="24"/>
          <w:highlight w:val="none"/>
          <w:lang w:val="en-US" w:eastAsia="zh-CN"/>
        </w:rPr>
        <w:t>询比内容</w:t>
      </w:r>
      <w:bookmarkEnd w:id="8"/>
      <w:bookmarkEnd w:id="9"/>
      <w:bookmarkEnd w:id="10"/>
      <w:bookmarkEnd w:id="11"/>
      <w:bookmarkEnd w:id="12"/>
      <w:bookmarkEnd w:id="13"/>
      <w:bookmarkEnd w:id="14"/>
    </w:p>
    <w:p w14:paraId="00693852">
      <w:pPr>
        <w:numPr>
          <w:ilvl w:val="0"/>
          <w:numId w:val="3"/>
        </w:numPr>
        <w:spacing w:line="560" w:lineRule="exact"/>
        <w:ind w:left="0" w:leftChars="0" w:firstLine="480" w:firstLineChars="200"/>
        <w:rPr>
          <w:rFonts w:hint="eastAsia" w:ascii="仿宋_GB2312" w:eastAsia="仿宋_GB2312"/>
          <w:sz w:val="24"/>
          <w:lang w:val="en-US" w:eastAsia="zh-CN"/>
        </w:rPr>
      </w:pPr>
      <w:r>
        <w:rPr>
          <w:rFonts w:hint="eastAsia" w:ascii="仿宋_GB2312" w:eastAsia="仿宋_GB2312"/>
          <w:sz w:val="24"/>
          <w:highlight w:val="none"/>
          <w:lang w:val="en-US" w:eastAsia="zh-CN"/>
        </w:rPr>
        <w:t>工作范围及内容：</w:t>
      </w:r>
      <w:r>
        <w:rPr>
          <w:rFonts w:hint="eastAsia" w:ascii="仿宋_GB2312" w:eastAsia="仿宋_GB2312" w:cs="Times New Roman"/>
          <w:sz w:val="24"/>
          <w:highlight w:val="none"/>
          <w:lang w:val="en-US" w:eastAsia="zh-CN"/>
        </w:rPr>
        <w:t>对资阳燃气电站的177台安全阀进行校验，加装铅封、悬挂校验标牌（含设备编号），并出具校验报告。具体服务范围、工作内容及技术标准详见</w:t>
      </w:r>
      <w:r>
        <w:rPr>
          <w:rFonts w:hint="eastAsia" w:ascii="仿宋_GB2312" w:eastAsia="仿宋_GB2312" w:cs="Times New Roman"/>
          <w:color w:val="auto"/>
          <w:sz w:val="24"/>
          <w:highlight w:val="none"/>
          <w:lang w:val="en-US" w:eastAsia="zh-CN"/>
        </w:rPr>
        <w:t>《安全阀校验技术规范书</w:t>
      </w:r>
      <w:r>
        <w:rPr>
          <w:rFonts w:hint="eastAsia" w:ascii="仿宋_GB2312" w:eastAsia="仿宋_GB2312"/>
          <w:color w:val="auto"/>
          <w:sz w:val="24"/>
          <w:highlight w:val="none"/>
          <w:lang w:val="en-US" w:eastAsia="zh-CN"/>
        </w:rPr>
        <w:t>》</w:t>
      </w:r>
      <w:r>
        <w:rPr>
          <w:rFonts w:hint="eastAsia" w:ascii="仿宋_GB2312" w:eastAsia="仿宋_GB2312"/>
          <w:sz w:val="24"/>
          <w:lang w:val="en-US" w:eastAsia="zh-CN"/>
        </w:rPr>
        <w:t>。</w:t>
      </w:r>
    </w:p>
    <w:p w14:paraId="1AAFF147">
      <w:pPr>
        <w:numPr>
          <w:ilvl w:val="0"/>
          <w:numId w:val="3"/>
        </w:numPr>
        <w:spacing w:line="560" w:lineRule="exact"/>
        <w:ind w:left="0" w:leftChars="0" w:firstLine="480" w:firstLineChars="2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服务期限：三年</w:t>
      </w:r>
      <w:r>
        <w:rPr>
          <w:rFonts w:hint="eastAsia" w:ascii="仿宋_GB2312" w:eastAsia="仿宋_GB2312" w:cs="Times New Roman"/>
          <w:sz w:val="24"/>
          <w:lang w:val="en-US" w:eastAsia="zh-CN"/>
        </w:rPr>
        <w:t>（2026年-2028年）</w:t>
      </w:r>
      <w:r>
        <w:rPr>
          <w:rFonts w:hint="eastAsia" w:ascii="仿宋_GB2312" w:hAnsi="Times New Roman" w:eastAsia="仿宋_GB2312" w:cs="Times New Roman"/>
          <w:sz w:val="24"/>
          <w:lang w:val="en-US" w:eastAsia="zh-CN"/>
        </w:rPr>
        <w:t>。若甲方上级公司有统一要求或有政策性变化、或乙方不能履行或按时完成合同内项目、或甲方对乙方的服务不满意，甲方均有权无条件终止合同。</w:t>
      </w:r>
    </w:p>
    <w:p w14:paraId="5FCB650A">
      <w:pPr>
        <w:numPr>
          <w:ilvl w:val="0"/>
          <w:numId w:val="3"/>
        </w:numPr>
        <w:spacing w:line="560" w:lineRule="exact"/>
        <w:ind w:left="0" w:leftChars="0" w:firstLine="480" w:firstLineChars="2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工期要求：每年6月30日前完成</w:t>
      </w:r>
      <w:r>
        <w:rPr>
          <w:rFonts w:hint="eastAsia" w:ascii="仿宋_GB2312" w:eastAsia="仿宋_GB2312" w:cs="Times New Roman"/>
          <w:sz w:val="24"/>
          <w:lang w:val="en-US" w:eastAsia="zh-CN"/>
        </w:rPr>
        <w:t>本年度全部</w:t>
      </w:r>
      <w:r>
        <w:rPr>
          <w:rFonts w:hint="eastAsia" w:ascii="仿宋_GB2312" w:hAnsi="Times New Roman" w:eastAsia="仿宋_GB2312" w:cs="Times New Roman"/>
          <w:sz w:val="24"/>
          <w:lang w:val="en-US" w:eastAsia="zh-CN"/>
        </w:rPr>
        <w:t>安全阀校验</w:t>
      </w:r>
      <w:r>
        <w:rPr>
          <w:rFonts w:hint="eastAsia" w:ascii="仿宋_GB2312" w:eastAsia="仿宋_GB2312" w:cs="Times New Roman"/>
          <w:sz w:val="24"/>
          <w:lang w:val="en-US" w:eastAsia="zh-CN"/>
        </w:rPr>
        <w:t>并出具正式校验报告</w:t>
      </w:r>
      <w:r>
        <w:rPr>
          <w:rFonts w:hint="eastAsia" w:ascii="仿宋_GB2312" w:hAnsi="Times New Roman" w:eastAsia="仿宋_GB2312" w:cs="Times New Roman"/>
          <w:sz w:val="24"/>
          <w:lang w:val="en-US" w:eastAsia="zh-CN"/>
        </w:rPr>
        <w:t>（开始时间以</w:t>
      </w:r>
      <w:r>
        <w:rPr>
          <w:rFonts w:hint="eastAsia" w:ascii="仿宋_GB2312" w:eastAsia="仿宋_GB2312" w:cs="Times New Roman"/>
          <w:sz w:val="24"/>
          <w:lang w:val="en-US" w:eastAsia="zh-CN"/>
        </w:rPr>
        <w:t>采购人</w:t>
      </w:r>
      <w:r>
        <w:rPr>
          <w:rFonts w:hint="eastAsia" w:ascii="仿宋_GB2312" w:hAnsi="Times New Roman" w:eastAsia="仿宋_GB2312" w:cs="Times New Roman"/>
          <w:sz w:val="24"/>
          <w:lang w:val="en-US" w:eastAsia="zh-CN"/>
        </w:rPr>
        <w:t>书面通知为准）。</w:t>
      </w:r>
    </w:p>
    <w:p w14:paraId="6BC9501B">
      <w:pPr>
        <w:numPr>
          <w:ilvl w:val="0"/>
          <w:numId w:val="3"/>
        </w:numPr>
        <w:spacing w:line="560" w:lineRule="exact"/>
        <w:ind w:left="0" w:leftChars="0" w:firstLine="480" w:firstLineChars="2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采购控制价：</w:t>
      </w:r>
      <w:r>
        <w:rPr>
          <w:rFonts w:hint="eastAsia" w:ascii="仿宋_GB2312" w:hAnsi="Times New Roman" w:eastAsia="仿宋_GB2312" w:cs="Times New Roman"/>
          <w:sz w:val="24"/>
          <w:highlight w:val="none"/>
          <w:lang w:val="en-US" w:eastAsia="zh-CN"/>
        </w:rPr>
        <w:t>含税</w:t>
      </w:r>
      <w:r>
        <w:rPr>
          <w:rFonts w:hint="eastAsia" w:ascii="仿宋_GB2312" w:eastAsia="仿宋_GB2312" w:cs="Times New Roman"/>
          <w:sz w:val="24"/>
          <w:highlight w:val="none"/>
          <w:lang w:val="en-US" w:eastAsia="zh-CN"/>
        </w:rPr>
        <w:t>1</w:t>
      </w:r>
      <w:r>
        <w:rPr>
          <w:rFonts w:hint="eastAsia" w:ascii="仿宋_GB2312" w:hAnsi="Times New Roman" w:eastAsia="仿宋_GB2312" w:cs="Times New Roman"/>
          <w:sz w:val="24"/>
          <w:highlight w:val="none"/>
          <w:lang w:val="en-US" w:eastAsia="zh-CN"/>
        </w:rPr>
        <w:t>2万元/年。</w:t>
      </w:r>
    </w:p>
    <w:p w14:paraId="6E212EE8">
      <w:pPr>
        <w:numPr>
          <w:ilvl w:val="0"/>
          <w:numId w:val="2"/>
        </w:numPr>
        <w:spacing w:line="560" w:lineRule="exact"/>
        <w:ind w:left="0" w:leftChars="0" w:firstLine="420" w:firstLineChars="0"/>
        <w:outlineLvl w:val="1"/>
        <w:rPr>
          <w:rFonts w:hint="eastAsia" w:ascii="宋体" w:hAnsi="宋体" w:eastAsia="宋体" w:cs="宋体"/>
          <w:b/>
          <w:bCs/>
          <w:kern w:val="2"/>
          <w:sz w:val="24"/>
          <w:lang w:val="en-US" w:eastAsia="zh-CN"/>
        </w:rPr>
      </w:pPr>
      <w:bookmarkStart w:id="15" w:name="_Toc14839"/>
      <w:bookmarkStart w:id="16" w:name="_Toc3930"/>
      <w:bookmarkStart w:id="17" w:name="_Toc14398"/>
      <w:bookmarkStart w:id="18" w:name="_Toc6457"/>
      <w:r>
        <w:rPr>
          <w:rFonts w:hint="eastAsia" w:ascii="宋体" w:hAnsi="宋体" w:eastAsia="宋体" w:cs="宋体"/>
          <w:b/>
          <w:bCs/>
          <w:kern w:val="2"/>
          <w:sz w:val="24"/>
          <w:lang w:val="en-US" w:eastAsia="zh-CN"/>
        </w:rPr>
        <w:t>响应人资格要求</w:t>
      </w:r>
      <w:bookmarkEnd w:id="15"/>
      <w:bookmarkEnd w:id="16"/>
      <w:bookmarkEnd w:id="17"/>
      <w:bookmarkEnd w:id="18"/>
    </w:p>
    <w:p w14:paraId="5DFE6687">
      <w:pPr>
        <w:numPr>
          <w:ilvl w:val="0"/>
          <w:numId w:val="4"/>
        </w:numPr>
        <w:spacing w:line="560" w:lineRule="exact"/>
        <w:ind w:left="0" w:leftChars="0" w:firstLine="420" w:firstLineChars="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具有</w:t>
      </w:r>
      <w:r>
        <w:rPr>
          <w:rFonts w:hint="eastAsia" w:ascii="仿宋_GB2312" w:eastAsia="仿宋_GB2312" w:cs="Times New Roman"/>
          <w:sz w:val="24"/>
          <w:lang w:val="en-US" w:eastAsia="zh-CN"/>
        </w:rPr>
        <w:t>独立法人资格</w:t>
      </w:r>
      <w:r>
        <w:rPr>
          <w:rFonts w:hint="eastAsia" w:ascii="仿宋_GB2312" w:hAnsi="Times New Roman" w:eastAsia="仿宋_GB2312" w:cs="Times New Roman"/>
          <w:sz w:val="24"/>
          <w:lang w:val="en-US" w:eastAsia="zh-CN"/>
        </w:rPr>
        <w:t>;</w:t>
      </w:r>
    </w:p>
    <w:p w14:paraId="5C0D4289">
      <w:pPr>
        <w:numPr>
          <w:ilvl w:val="0"/>
          <w:numId w:val="4"/>
        </w:numPr>
        <w:spacing w:line="560" w:lineRule="exact"/>
        <w:ind w:left="0" w:leftChars="0" w:firstLine="420" w:firstLineChars="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具有市场监管局核准的安全阀校验FD1和FD2资质(含在线校验)，资质须在有效期内；</w:t>
      </w:r>
    </w:p>
    <w:p w14:paraId="2B35C436">
      <w:pPr>
        <w:numPr>
          <w:ilvl w:val="0"/>
          <w:numId w:val="4"/>
        </w:numPr>
        <w:spacing w:line="560" w:lineRule="exact"/>
        <w:ind w:left="0" w:leftChars="0" w:firstLine="420" w:firstLineChars="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近3年（202</w:t>
      </w:r>
      <w:r>
        <w:rPr>
          <w:rFonts w:hint="eastAsia" w:ascii="仿宋_GB2312" w:eastAsia="仿宋_GB2312" w:cs="Times New Roman"/>
          <w:sz w:val="24"/>
          <w:lang w:val="en-US" w:eastAsia="zh-CN"/>
        </w:rPr>
        <w:t>3</w:t>
      </w:r>
      <w:r>
        <w:rPr>
          <w:rFonts w:hint="eastAsia" w:ascii="仿宋_GB2312" w:hAnsi="Times New Roman" w:eastAsia="仿宋_GB2312" w:cs="Times New Roman"/>
          <w:sz w:val="24"/>
          <w:lang w:val="en-US" w:eastAsia="zh-CN"/>
        </w:rPr>
        <w:t>年1月1日至</w:t>
      </w:r>
      <w:r>
        <w:rPr>
          <w:rFonts w:hint="eastAsia" w:ascii="仿宋_GB2312" w:eastAsia="仿宋_GB2312" w:cs="Times New Roman"/>
          <w:sz w:val="24"/>
          <w:lang w:val="en-US" w:eastAsia="zh-CN"/>
        </w:rPr>
        <w:t>响应文件递交</w:t>
      </w:r>
      <w:r>
        <w:rPr>
          <w:rFonts w:hint="eastAsia" w:ascii="仿宋_GB2312" w:hAnsi="Times New Roman" w:eastAsia="仿宋_GB2312" w:cs="Times New Roman"/>
          <w:sz w:val="24"/>
          <w:lang w:val="en-US" w:eastAsia="zh-CN"/>
        </w:rPr>
        <w:t>截止日）已完成</w:t>
      </w:r>
      <w:r>
        <w:rPr>
          <w:rFonts w:hint="eastAsia" w:ascii="仿宋_GB2312" w:eastAsia="仿宋_GB2312" w:cs="Times New Roman"/>
          <w:sz w:val="24"/>
          <w:lang w:val="en-US" w:eastAsia="zh-CN"/>
        </w:rPr>
        <w:t>不少于</w:t>
      </w:r>
      <w:r>
        <w:rPr>
          <w:rFonts w:hint="eastAsia" w:ascii="仿宋_GB2312" w:hAnsi="Times New Roman" w:eastAsia="仿宋_GB2312" w:cs="Times New Roman"/>
          <w:sz w:val="24"/>
          <w:lang w:val="en-US" w:eastAsia="zh-CN"/>
        </w:rPr>
        <w:t>1个安全阀校验相关业绩；</w:t>
      </w:r>
    </w:p>
    <w:p w14:paraId="60442199">
      <w:pPr>
        <w:numPr>
          <w:ilvl w:val="0"/>
          <w:numId w:val="4"/>
        </w:numPr>
        <w:spacing w:line="560" w:lineRule="exact"/>
        <w:ind w:left="0" w:leftChars="0" w:firstLine="420" w:firstLineChars="0"/>
        <w:rPr>
          <w:rFonts w:hint="eastAsia" w:ascii="仿宋_GB2312" w:hAnsi="Times New Roman" w:eastAsia="仿宋_GB2312" w:cs="Times New Roman"/>
          <w:sz w:val="24"/>
          <w:lang w:val="en-US" w:eastAsia="zh-CN"/>
        </w:rPr>
      </w:pPr>
      <w:r>
        <w:rPr>
          <w:rFonts w:hint="eastAsia" w:ascii="仿宋_GB2312" w:eastAsia="仿宋_GB2312" w:cs="Times New Roman"/>
          <w:sz w:val="24"/>
          <w:lang w:val="en-US" w:eastAsia="zh-CN"/>
        </w:rPr>
        <w:t>校验</w:t>
      </w:r>
      <w:r>
        <w:rPr>
          <w:rFonts w:hint="eastAsia" w:ascii="仿宋_GB2312" w:hAnsi="Times New Roman" w:eastAsia="仿宋_GB2312" w:cs="Times New Roman"/>
          <w:sz w:val="24"/>
          <w:lang w:val="en-US" w:eastAsia="zh-CN"/>
        </w:rPr>
        <w:t>人员应具有特种设备安全管理和作业人员证</w:t>
      </w:r>
      <w:r>
        <w:rPr>
          <w:rFonts w:hint="eastAsia" w:ascii="仿宋_GB2312" w:eastAsia="仿宋_GB2312" w:cs="Times New Roman"/>
          <w:sz w:val="24"/>
          <w:lang w:val="en-US" w:eastAsia="zh-CN"/>
        </w:rPr>
        <w:t>（</w:t>
      </w:r>
      <w:r>
        <w:rPr>
          <w:rFonts w:hint="eastAsia" w:ascii="仿宋_GB2312" w:hAnsi="Times New Roman" w:eastAsia="仿宋_GB2312" w:cs="Times New Roman"/>
          <w:sz w:val="24"/>
          <w:lang w:val="en-US" w:eastAsia="zh-CN"/>
        </w:rPr>
        <w:t>作业项目：安全阀校验，代号F</w:t>
      </w:r>
      <w:r>
        <w:rPr>
          <w:rFonts w:hint="eastAsia" w:ascii="仿宋_GB2312" w:eastAsia="仿宋_GB2312" w:cs="Times New Roman"/>
          <w:sz w:val="24"/>
          <w:lang w:val="en-US" w:eastAsia="zh-CN"/>
        </w:rPr>
        <w:t>）</w:t>
      </w:r>
      <w:r>
        <w:rPr>
          <w:rFonts w:hint="eastAsia" w:ascii="仿宋_GB2312" w:hAnsi="Times New Roman" w:eastAsia="仿宋_GB2312" w:cs="Times New Roman"/>
          <w:sz w:val="24"/>
          <w:lang w:val="en-US" w:eastAsia="zh-CN"/>
        </w:rPr>
        <w:t>，证书在有效期内。</w:t>
      </w:r>
    </w:p>
    <w:p w14:paraId="1384D5AC">
      <w:pPr>
        <w:numPr>
          <w:ilvl w:val="0"/>
          <w:numId w:val="2"/>
        </w:numPr>
        <w:spacing w:line="560" w:lineRule="exact"/>
        <w:ind w:left="0" w:leftChars="0" w:firstLine="420" w:firstLineChars="0"/>
        <w:outlineLvl w:val="1"/>
        <w:rPr>
          <w:rFonts w:hint="eastAsia" w:ascii="宋体" w:hAnsi="宋体" w:eastAsia="宋体" w:cs="宋体"/>
          <w:b/>
          <w:bCs/>
          <w:kern w:val="2"/>
          <w:sz w:val="24"/>
          <w:lang w:val="en-US" w:eastAsia="zh-CN"/>
        </w:rPr>
      </w:pPr>
      <w:bookmarkStart w:id="19" w:name="_Toc13621"/>
      <w:bookmarkStart w:id="20" w:name="_Toc1414"/>
      <w:bookmarkStart w:id="21" w:name="_Toc12307"/>
      <w:bookmarkStart w:id="22" w:name="_Toc22982"/>
      <w:bookmarkStart w:id="23" w:name="_Toc20260"/>
      <w:bookmarkStart w:id="24" w:name="_Toc17293"/>
      <w:bookmarkStart w:id="25" w:name="_Toc26358"/>
      <w:r>
        <w:rPr>
          <w:rFonts w:hint="eastAsia" w:ascii="宋体" w:hAnsi="宋体" w:eastAsia="宋体" w:cs="宋体"/>
          <w:b/>
          <w:bCs/>
          <w:kern w:val="2"/>
          <w:sz w:val="24"/>
          <w:lang w:val="en-US" w:eastAsia="zh-CN"/>
        </w:rPr>
        <w:t>报名及获取采购文件</w:t>
      </w:r>
      <w:bookmarkEnd w:id="19"/>
      <w:bookmarkEnd w:id="20"/>
      <w:bookmarkEnd w:id="21"/>
      <w:bookmarkEnd w:id="22"/>
      <w:bookmarkEnd w:id="23"/>
      <w:bookmarkEnd w:id="24"/>
      <w:bookmarkEnd w:id="25"/>
    </w:p>
    <w:p w14:paraId="18305104">
      <w:pPr>
        <w:numPr>
          <w:ilvl w:val="0"/>
          <w:numId w:val="5"/>
        </w:numPr>
        <w:spacing w:line="560" w:lineRule="exact"/>
        <w:ind w:left="0" w:leftChars="0" w:firstLine="420" w:firstLineChars="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凡符合要求且有意参加本项目的响应人，请于2026年</w:t>
      </w:r>
      <w:r>
        <w:rPr>
          <w:rFonts w:hint="eastAsia" w:ascii="仿宋_GB2312" w:eastAsia="仿宋_GB2312" w:cs="Times New Roman"/>
          <w:sz w:val="24"/>
          <w:lang w:val="en-US" w:eastAsia="zh-CN"/>
        </w:rPr>
        <w:t>4</w:t>
      </w:r>
      <w:r>
        <w:rPr>
          <w:rFonts w:hint="eastAsia" w:ascii="仿宋_GB2312" w:hAnsi="Times New Roman" w:eastAsia="仿宋_GB2312" w:cs="Times New Roman"/>
          <w:sz w:val="24"/>
          <w:lang w:val="en-US" w:eastAsia="zh-CN"/>
        </w:rPr>
        <w:t>月</w:t>
      </w:r>
      <w:r>
        <w:rPr>
          <w:rFonts w:hint="eastAsia" w:ascii="仿宋_GB2312" w:eastAsia="仿宋_GB2312" w:cs="Times New Roman"/>
          <w:sz w:val="24"/>
          <w:lang w:val="en-US" w:eastAsia="zh-CN"/>
        </w:rPr>
        <w:t>17</w:t>
      </w:r>
      <w:r>
        <w:rPr>
          <w:rFonts w:hint="eastAsia" w:ascii="仿宋_GB2312" w:hAnsi="Times New Roman" w:eastAsia="仿宋_GB2312" w:cs="Times New Roman"/>
          <w:sz w:val="24"/>
          <w:lang w:val="en-US" w:eastAsia="zh-CN"/>
        </w:rPr>
        <w:t>日17时之前登录天府阳光采购服务平台（http://scny.tfygcgfw.com/），完成注册下载询比采购资料（询比采购文件等）。</w:t>
      </w:r>
    </w:p>
    <w:p w14:paraId="5861B609">
      <w:pPr>
        <w:numPr>
          <w:ilvl w:val="0"/>
          <w:numId w:val="5"/>
        </w:numPr>
        <w:spacing w:line="560" w:lineRule="exact"/>
        <w:ind w:left="0" w:leftChars="0" w:firstLine="420" w:firstLineChars="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除上述方式外，采购人不提供其他任何报名和询比采购文件获取方式。</w:t>
      </w:r>
    </w:p>
    <w:p w14:paraId="467186A5">
      <w:pPr>
        <w:numPr>
          <w:ilvl w:val="0"/>
          <w:numId w:val="2"/>
        </w:numPr>
        <w:spacing w:line="560" w:lineRule="exact"/>
        <w:ind w:left="0" w:leftChars="0" w:firstLine="420" w:firstLineChars="0"/>
        <w:outlineLvl w:val="1"/>
        <w:rPr>
          <w:rFonts w:hint="eastAsia" w:ascii="宋体" w:hAnsi="宋体" w:eastAsia="宋体" w:cs="宋体"/>
          <w:b/>
          <w:bCs/>
          <w:kern w:val="2"/>
          <w:sz w:val="24"/>
          <w:lang w:val="en-US" w:eastAsia="zh-CN"/>
        </w:rPr>
      </w:pPr>
      <w:bookmarkStart w:id="26" w:name="_Toc21487"/>
      <w:bookmarkStart w:id="27" w:name="_Toc18305"/>
      <w:bookmarkStart w:id="28" w:name="_Toc15857"/>
      <w:bookmarkStart w:id="29" w:name="_Toc28043"/>
      <w:bookmarkStart w:id="30" w:name="_Toc1823"/>
      <w:bookmarkStart w:id="31" w:name="_Toc4815"/>
      <w:bookmarkStart w:id="32" w:name="_Toc19474"/>
      <w:r>
        <w:rPr>
          <w:rFonts w:hint="eastAsia" w:ascii="宋体" w:hAnsi="宋体" w:eastAsia="宋体" w:cs="宋体"/>
          <w:b/>
          <w:bCs/>
          <w:kern w:val="2"/>
          <w:sz w:val="24"/>
          <w:lang w:val="en-US" w:eastAsia="zh-CN"/>
        </w:rPr>
        <w:t>递交响应文件截止时间及地点</w:t>
      </w:r>
      <w:bookmarkEnd w:id="26"/>
      <w:bookmarkEnd w:id="27"/>
      <w:bookmarkEnd w:id="28"/>
      <w:bookmarkEnd w:id="29"/>
      <w:bookmarkEnd w:id="30"/>
      <w:bookmarkEnd w:id="31"/>
      <w:bookmarkEnd w:id="32"/>
    </w:p>
    <w:p w14:paraId="51938F49">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420" w:firstLineChars="0"/>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响应文件递交的截止时间：2026年</w:t>
      </w:r>
      <w:r>
        <w:rPr>
          <w:rFonts w:hint="eastAsia" w:ascii="仿宋_GB2312" w:eastAsia="仿宋_GB2312" w:cs="Times New Roman"/>
          <w:sz w:val="24"/>
          <w:lang w:val="en-US" w:eastAsia="zh-CN"/>
        </w:rPr>
        <w:t>4</w:t>
      </w:r>
      <w:r>
        <w:rPr>
          <w:rFonts w:hint="eastAsia" w:ascii="仿宋_GB2312" w:hAnsi="Times New Roman" w:eastAsia="仿宋_GB2312" w:cs="Times New Roman"/>
          <w:sz w:val="24"/>
          <w:lang w:val="en-US" w:eastAsia="zh-CN"/>
        </w:rPr>
        <w:t>月</w:t>
      </w:r>
      <w:r>
        <w:rPr>
          <w:rFonts w:hint="eastAsia" w:ascii="仿宋_GB2312" w:eastAsia="仿宋_GB2312" w:cs="Times New Roman"/>
          <w:sz w:val="24"/>
          <w:lang w:val="en-US" w:eastAsia="zh-CN"/>
        </w:rPr>
        <w:t>21</w:t>
      </w:r>
      <w:r>
        <w:rPr>
          <w:rFonts w:hint="eastAsia" w:ascii="仿宋_GB2312" w:hAnsi="Times New Roman" w:eastAsia="仿宋_GB2312" w:cs="Times New Roman"/>
          <w:sz w:val="24"/>
          <w:lang w:val="en-US" w:eastAsia="zh-CN"/>
        </w:rPr>
        <w:t>日1</w:t>
      </w:r>
      <w:r>
        <w:rPr>
          <w:rFonts w:hint="eastAsia" w:ascii="仿宋_GB2312" w:eastAsia="仿宋_GB2312" w:cs="Times New Roman"/>
          <w:sz w:val="24"/>
          <w:lang w:val="en-US" w:eastAsia="zh-CN"/>
        </w:rPr>
        <w:t>5</w:t>
      </w:r>
      <w:r>
        <w:rPr>
          <w:rFonts w:hint="eastAsia" w:ascii="仿宋_GB2312" w:hAnsi="Times New Roman" w:eastAsia="仿宋_GB2312" w:cs="Times New Roman"/>
          <w:sz w:val="24"/>
          <w:lang w:val="en-US" w:eastAsia="zh-CN"/>
        </w:rPr>
        <w:t>:</w:t>
      </w:r>
      <w:r>
        <w:rPr>
          <w:rFonts w:hint="eastAsia" w:ascii="仿宋_GB2312" w:eastAsia="仿宋_GB2312" w:cs="Times New Roman"/>
          <w:sz w:val="24"/>
          <w:lang w:val="en-US" w:eastAsia="zh-CN"/>
        </w:rPr>
        <w:t>0</w:t>
      </w:r>
      <w:r>
        <w:rPr>
          <w:rFonts w:hint="eastAsia" w:ascii="仿宋_GB2312" w:hAnsi="Times New Roman" w:eastAsia="仿宋_GB2312" w:cs="Times New Roman"/>
          <w:sz w:val="24"/>
          <w:lang w:val="en-US" w:eastAsia="zh-CN"/>
        </w:rPr>
        <w:t>0。</w:t>
      </w:r>
    </w:p>
    <w:p w14:paraId="1F591D2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方正仿宋_GB2312" w:hAnsi="方正仿宋_GB2312" w:eastAsia="方正仿宋_GB2312" w:cs="方正仿宋_GB2312"/>
          <w:b w:val="0"/>
          <w:bCs w:val="0"/>
          <w:sz w:val="24"/>
        </w:rPr>
      </w:pPr>
      <w:r>
        <w:rPr>
          <w:rFonts w:hint="eastAsia" w:ascii="仿宋_GB2312" w:eastAsia="仿宋_GB2312"/>
          <w:b w:val="0"/>
          <w:bCs w:val="0"/>
          <w:sz w:val="24"/>
          <w:lang w:eastAsia="zh-CN"/>
        </w:rPr>
        <w:t>响应人</w:t>
      </w:r>
      <w:r>
        <w:rPr>
          <w:rFonts w:hint="eastAsia" w:ascii="仿宋_GB2312" w:eastAsia="仿宋_GB2312"/>
          <w:b w:val="0"/>
          <w:bCs w:val="0"/>
          <w:sz w:val="24"/>
        </w:rPr>
        <w:t>须在</w:t>
      </w:r>
      <w:r>
        <w:rPr>
          <w:rFonts w:hint="eastAsia" w:ascii="仿宋_GB2312" w:eastAsia="仿宋_GB2312"/>
          <w:b w:val="0"/>
          <w:bCs w:val="0"/>
          <w:sz w:val="24"/>
          <w:lang w:val="en-US" w:eastAsia="zh-CN"/>
        </w:rPr>
        <w:t>响应</w:t>
      </w:r>
      <w:r>
        <w:rPr>
          <w:rFonts w:hint="eastAsia" w:ascii="仿宋_GB2312" w:eastAsia="仿宋_GB2312"/>
          <w:b w:val="0"/>
          <w:bCs w:val="0"/>
          <w:sz w:val="24"/>
        </w:rPr>
        <w:t>文件递交截止时间前将</w:t>
      </w:r>
      <w:r>
        <w:rPr>
          <w:rFonts w:hint="eastAsia" w:ascii="仿宋_GB2312" w:eastAsia="仿宋_GB2312"/>
          <w:b w:val="0"/>
          <w:bCs w:val="0"/>
          <w:sz w:val="24"/>
          <w:lang w:val="en-US" w:eastAsia="zh-CN"/>
        </w:rPr>
        <w:t>响应</w:t>
      </w:r>
      <w:r>
        <w:rPr>
          <w:rFonts w:hint="eastAsia" w:ascii="仿宋_GB2312" w:eastAsia="仿宋_GB2312"/>
          <w:b w:val="0"/>
          <w:bCs w:val="0"/>
          <w:sz w:val="24"/>
        </w:rPr>
        <w:t>文件邮寄或送至四川省资阳市安岳县永顺镇永安路218号川投（资阳）燃气发电有限公司</w:t>
      </w:r>
      <w:r>
        <w:rPr>
          <w:rFonts w:hint="eastAsia" w:ascii="仿宋_GB2312" w:eastAsia="仿宋_GB2312"/>
          <w:b w:val="0"/>
          <w:bCs w:val="0"/>
          <w:sz w:val="24"/>
          <w:lang w:val="en-US" w:eastAsia="zh-CN"/>
        </w:rPr>
        <w:t>综合楼</w:t>
      </w:r>
      <w:r>
        <w:rPr>
          <w:rFonts w:hint="eastAsia" w:ascii="仿宋_GB2312" w:eastAsia="仿宋_GB2312"/>
          <w:b w:val="0"/>
          <w:bCs w:val="0"/>
          <w:sz w:val="24"/>
        </w:rPr>
        <w:t>2楼（</w:t>
      </w:r>
      <w:r>
        <w:rPr>
          <w:rFonts w:hint="eastAsia" w:ascii="仿宋_GB2312" w:eastAsia="仿宋_GB2312"/>
          <w:b w:val="0"/>
          <w:bCs w:val="0"/>
          <w:sz w:val="24"/>
          <w:lang w:val="en-US" w:eastAsia="zh-CN"/>
        </w:rPr>
        <w:t>经营管理</w:t>
      </w:r>
      <w:r>
        <w:rPr>
          <w:rFonts w:hint="eastAsia" w:ascii="仿宋_GB2312" w:hAnsi="Times New Roman" w:eastAsia="仿宋_GB2312" w:cs="Times New Roman"/>
          <w:b w:val="0"/>
          <w:bCs w:val="0"/>
          <w:sz w:val="24"/>
        </w:rPr>
        <w:t>部），时间以</w:t>
      </w:r>
      <w:r>
        <w:rPr>
          <w:rFonts w:hint="eastAsia" w:ascii="仿宋_GB2312" w:eastAsia="仿宋_GB2312" w:cs="Times New Roman"/>
          <w:b w:val="0"/>
          <w:bCs w:val="0"/>
          <w:sz w:val="24"/>
          <w:lang w:eastAsia="zh-CN"/>
        </w:rPr>
        <w:t>采购人</w:t>
      </w:r>
      <w:r>
        <w:rPr>
          <w:rFonts w:hint="eastAsia" w:ascii="仿宋_GB2312" w:hAnsi="Times New Roman" w:eastAsia="仿宋_GB2312" w:cs="Times New Roman"/>
          <w:b w:val="0"/>
          <w:bCs w:val="0"/>
          <w:sz w:val="24"/>
        </w:rPr>
        <w:t>签收时间为准</w:t>
      </w:r>
      <w:r>
        <w:rPr>
          <w:rFonts w:hint="eastAsia" w:ascii="仿宋_GB2312" w:hAnsi="Times New Roman" w:eastAsia="仿宋_GB2312" w:cs="Times New Roman"/>
          <w:b w:val="0"/>
          <w:bCs w:val="0"/>
          <w:sz w:val="24"/>
          <w:lang w:eastAsia="zh-CN"/>
        </w:rPr>
        <w:t>。</w:t>
      </w:r>
    </w:p>
    <w:p w14:paraId="549664EA">
      <w:pPr>
        <w:keepNext w:val="0"/>
        <w:keepLines w:val="0"/>
        <w:pageBreakBefore w:val="0"/>
        <w:widowControl w:val="0"/>
        <w:kinsoku/>
        <w:wordWrap/>
        <w:overflowPunct/>
        <w:topLinePunct w:val="0"/>
        <w:autoSpaceDE/>
        <w:autoSpaceDN/>
        <w:bidi w:val="0"/>
        <w:adjustRightInd/>
        <w:snapToGrid/>
        <w:spacing w:beforeLines="-2147483648" w:afterLines="-2147483648" w:line="520" w:lineRule="exact"/>
        <w:ind w:firstLine="480" w:firstLineChars="200"/>
        <w:jc w:val="left"/>
        <w:textAlignment w:val="auto"/>
        <w:rPr>
          <w:rFonts w:hint="default" w:ascii="仿宋_GB2312" w:hAnsi="Times New Roman" w:eastAsia="仿宋_GB2312" w:cs="Times New Roman"/>
          <w:b w:val="0"/>
          <w:bCs w:val="0"/>
          <w:sz w:val="24"/>
          <w:lang w:val="en-US" w:eastAsia="zh-CN"/>
        </w:rPr>
      </w:pPr>
      <w:r>
        <w:rPr>
          <w:rFonts w:hint="eastAsia" w:ascii="仿宋_GB2312" w:hAnsi="Times New Roman" w:eastAsia="仿宋_GB2312" w:cs="Times New Roman"/>
          <w:b w:val="0"/>
          <w:bCs w:val="0"/>
          <w:sz w:val="24"/>
          <w:lang w:val="en-US" w:eastAsia="zh-CN"/>
        </w:rPr>
        <w:t>特别提醒：请</w:t>
      </w:r>
      <w:r>
        <w:rPr>
          <w:rFonts w:hint="eastAsia" w:ascii="仿宋_GB2312" w:eastAsia="仿宋_GB2312" w:cs="Times New Roman"/>
          <w:b w:val="0"/>
          <w:bCs w:val="0"/>
          <w:sz w:val="24"/>
          <w:lang w:val="en-US" w:eastAsia="zh-CN"/>
        </w:rPr>
        <w:t>响应人</w:t>
      </w:r>
      <w:r>
        <w:rPr>
          <w:rFonts w:hint="eastAsia" w:ascii="仿宋_GB2312" w:hAnsi="Times New Roman" w:eastAsia="仿宋_GB2312" w:cs="Times New Roman"/>
          <w:b w:val="0"/>
          <w:bCs w:val="0"/>
          <w:sz w:val="24"/>
          <w:lang w:val="en-US" w:eastAsia="zh-CN"/>
        </w:rPr>
        <w:t>注意</w:t>
      </w:r>
      <w:r>
        <w:rPr>
          <w:rFonts w:hint="eastAsia" w:ascii="仿宋_GB2312" w:eastAsia="仿宋_GB2312" w:cs="Times New Roman"/>
          <w:b w:val="0"/>
          <w:bCs w:val="0"/>
          <w:sz w:val="24"/>
          <w:lang w:val="en-US" w:eastAsia="zh-CN"/>
        </w:rPr>
        <w:t>响应文件递交</w:t>
      </w:r>
      <w:r>
        <w:rPr>
          <w:rFonts w:hint="eastAsia" w:ascii="仿宋_GB2312" w:hAnsi="Times New Roman" w:eastAsia="仿宋_GB2312" w:cs="Times New Roman"/>
          <w:b w:val="0"/>
          <w:bCs w:val="0"/>
          <w:sz w:val="24"/>
          <w:lang w:val="en-US" w:eastAsia="zh-CN"/>
        </w:rPr>
        <w:t>截止时间，并尽可能多预留一点邮寄时间，且在邮寄</w:t>
      </w:r>
      <w:r>
        <w:rPr>
          <w:rFonts w:hint="eastAsia" w:ascii="仿宋_GB2312" w:eastAsia="仿宋_GB2312" w:cs="Times New Roman"/>
          <w:b w:val="0"/>
          <w:bCs w:val="0"/>
          <w:sz w:val="24"/>
          <w:lang w:val="en-US" w:eastAsia="zh-CN"/>
        </w:rPr>
        <w:t>询比</w:t>
      </w:r>
      <w:r>
        <w:rPr>
          <w:rFonts w:hint="eastAsia" w:ascii="仿宋_GB2312" w:eastAsia="仿宋_GB2312"/>
          <w:b w:val="0"/>
          <w:bCs w:val="0"/>
          <w:sz w:val="24"/>
          <w:lang w:val="en-US" w:eastAsia="zh-CN"/>
        </w:rPr>
        <w:t>响应</w:t>
      </w:r>
      <w:r>
        <w:rPr>
          <w:rFonts w:hint="eastAsia" w:ascii="仿宋_GB2312" w:eastAsia="仿宋_GB2312" w:cs="Times New Roman"/>
          <w:b w:val="0"/>
          <w:bCs w:val="0"/>
          <w:sz w:val="24"/>
          <w:lang w:val="en-US" w:eastAsia="zh-CN"/>
        </w:rPr>
        <w:t>文件</w:t>
      </w:r>
      <w:r>
        <w:rPr>
          <w:rFonts w:hint="eastAsia" w:ascii="仿宋_GB2312" w:hAnsi="Times New Roman" w:eastAsia="仿宋_GB2312" w:cs="Times New Roman"/>
          <w:b w:val="0"/>
          <w:bCs w:val="0"/>
          <w:sz w:val="24"/>
          <w:lang w:val="en-US" w:eastAsia="zh-CN"/>
        </w:rPr>
        <w:t>后合适的时间致电联系人，核实</w:t>
      </w:r>
      <w:r>
        <w:rPr>
          <w:rFonts w:hint="eastAsia" w:ascii="仿宋_GB2312" w:eastAsia="仿宋_GB2312" w:cs="Times New Roman"/>
          <w:b w:val="0"/>
          <w:bCs w:val="0"/>
          <w:sz w:val="24"/>
          <w:lang w:val="en-US" w:eastAsia="zh-CN"/>
        </w:rPr>
        <w:t>询比</w:t>
      </w:r>
      <w:r>
        <w:rPr>
          <w:rFonts w:hint="eastAsia" w:ascii="仿宋_GB2312" w:eastAsia="仿宋_GB2312"/>
          <w:b w:val="0"/>
          <w:bCs w:val="0"/>
          <w:sz w:val="24"/>
          <w:lang w:val="en-US" w:eastAsia="zh-CN"/>
        </w:rPr>
        <w:t>响应</w:t>
      </w:r>
      <w:r>
        <w:rPr>
          <w:rFonts w:hint="eastAsia" w:ascii="仿宋_GB2312" w:eastAsia="仿宋_GB2312" w:cs="Times New Roman"/>
          <w:b w:val="0"/>
          <w:bCs w:val="0"/>
          <w:sz w:val="24"/>
          <w:lang w:val="en-US" w:eastAsia="zh-CN"/>
        </w:rPr>
        <w:t>文件</w:t>
      </w:r>
      <w:r>
        <w:rPr>
          <w:rFonts w:hint="eastAsia" w:ascii="仿宋_GB2312" w:hAnsi="Times New Roman" w:eastAsia="仿宋_GB2312" w:cs="Times New Roman"/>
          <w:b w:val="0"/>
          <w:bCs w:val="0"/>
          <w:sz w:val="24"/>
          <w:lang w:val="en-US" w:eastAsia="zh-CN"/>
        </w:rPr>
        <w:t>是否送达</w:t>
      </w:r>
      <w:r>
        <w:rPr>
          <w:rFonts w:hint="eastAsia" w:ascii="仿宋_GB2312" w:eastAsia="仿宋_GB2312" w:cs="Times New Roman"/>
          <w:b w:val="0"/>
          <w:bCs w:val="0"/>
          <w:sz w:val="24"/>
          <w:lang w:val="en-US" w:eastAsia="zh-CN"/>
        </w:rPr>
        <w:t>；为避免快递投递问题，建议邮寄时</w:t>
      </w:r>
      <w:r>
        <w:rPr>
          <w:rFonts w:hint="eastAsia" w:ascii="仿宋_GB2312" w:eastAsia="仿宋_GB2312" w:cs="Times New Roman"/>
          <w:b/>
          <w:bCs/>
          <w:sz w:val="24"/>
          <w:lang w:val="en-US" w:eastAsia="zh-CN"/>
        </w:rPr>
        <w:t>优先选择顺丰快递或京东快递</w:t>
      </w:r>
      <w:r>
        <w:rPr>
          <w:rFonts w:hint="eastAsia" w:ascii="仿宋_GB2312" w:hAnsi="Times New Roman" w:eastAsia="仿宋_GB2312" w:cs="Times New Roman"/>
          <w:b w:val="0"/>
          <w:bCs w:val="0"/>
          <w:sz w:val="24"/>
          <w:lang w:val="en-US" w:eastAsia="zh-CN"/>
        </w:rPr>
        <w:t>。</w:t>
      </w:r>
    </w:p>
    <w:p w14:paraId="2371F367">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420" w:firstLineChars="0"/>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邮寄地址：四川省资阳市安岳县永顺镇永安路218号川投（资阳）燃气发电有限公司A大门生产综合楼2楼（经营管理部）。响应文件正本1套，副本1套，电子文档U盘1个（内含签字盖章后响应文件正本扫描版*.PDF）。</w:t>
      </w:r>
    </w:p>
    <w:p w14:paraId="34FA8245">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420" w:firstLineChars="0"/>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逾期送达或未送达指定地点的响应文件、未按照要求密封的响应文件，采购人不予受理。</w:t>
      </w:r>
    </w:p>
    <w:p w14:paraId="7DA57FC0">
      <w:pPr>
        <w:numPr>
          <w:ilvl w:val="0"/>
          <w:numId w:val="2"/>
        </w:numPr>
        <w:spacing w:line="560" w:lineRule="exact"/>
        <w:ind w:left="0" w:leftChars="0" w:firstLine="420" w:firstLineChars="0"/>
        <w:outlineLvl w:val="1"/>
        <w:rPr>
          <w:rFonts w:hint="eastAsia" w:ascii="宋体" w:hAnsi="宋体" w:eastAsia="宋体" w:cs="宋体"/>
          <w:b/>
          <w:bCs/>
          <w:kern w:val="2"/>
          <w:sz w:val="24"/>
          <w:lang w:val="en-US" w:eastAsia="zh-CN"/>
        </w:rPr>
      </w:pPr>
      <w:bookmarkStart w:id="33" w:name="_Toc1692"/>
      <w:bookmarkStart w:id="34" w:name="_Toc12890"/>
      <w:bookmarkStart w:id="35" w:name="_Toc24007"/>
      <w:bookmarkStart w:id="36" w:name="_Toc2169"/>
      <w:bookmarkStart w:id="37" w:name="_Toc30519"/>
      <w:bookmarkStart w:id="38" w:name="_Toc27424"/>
      <w:bookmarkStart w:id="39" w:name="_Toc3286"/>
      <w:r>
        <w:rPr>
          <w:rFonts w:hint="eastAsia" w:ascii="宋体" w:hAnsi="宋体" w:eastAsia="宋体" w:cs="宋体"/>
          <w:b/>
          <w:bCs/>
          <w:kern w:val="2"/>
          <w:sz w:val="24"/>
          <w:lang w:val="en-US" w:eastAsia="zh-CN"/>
        </w:rPr>
        <w:t>开标</w:t>
      </w:r>
      <w:bookmarkEnd w:id="33"/>
      <w:bookmarkEnd w:id="34"/>
      <w:bookmarkEnd w:id="35"/>
      <w:bookmarkEnd w:id="36"/>
      <w:bookmarkEnd w:id="37"/>
      <w:bookmarkEnd w:id="38"/>
      <w:bookmarkEnd w:id="39"/>
    </w:p>
    <w:p w14:paraId="178B5C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color w:val="FF0000"/>
          <w:sz w:val="24"/>
          <w:highlight w:val="yellow"/>
          <w:lang w:val="en-US" w:eastAsia="zh-CN"/>
        </w:rPr>
      </w:pPr>
      <w:r>
        <w:rPr>
          <w:rFonts w:hint="eastAsia" w:ascii="仿宋_GB2312" w:hAnsi="仿宋_GB2312" w:eastAsia="仿宋_GB2312" w:cs="仿宋_GB2312"/>
          <w:sz w:val="24"/>
          <w:highlight w:val="none"/>
        </w:rPr>
        <w:t>开标时间：</w:t>
      </w:r>
      <w:r>
        <w:rPr>
          <w:rFonts w:hint="eastAsia" w:ascii="仿宋_GB2312" w:hAnsi="仿宋_GB2312" w:eastAsia="仿宋_GB2312" w:cs="仿宋_GB2312"/>
          <w:b/>
          <w:bCs/>
          <w:sz w:val="24"/>
          <w:highlight w:val="none"/>
        </w:rPr>
        <w:t>202</w:t>
      </w:r>
      <w:r>
        <w:rPr>
          <w:rFonts w:hint="eastAsia" w:ascii="仿宋_GB2312" w:hAnsi="仿宋_GB2312" w:eastAsia="仿宋_GB2312" w:cs="仿宋_GB2312"/>
          <w:b/>
          <w:bCs/>
          <w:sz w:val="24"/>
          <w:highlight w:val="none"/>
          <w:lang w:val="en-US" w:eastAsia="zh-CN"/>
        </w:rPr>
        <w:t>6</w:t>
      </w:r>
      <w:r>
        <w:rPr>
          <w:rFonts w:hint="eastAsia" w:ascii="仿宋_GB2312" w:hAnsi="仿宋_GB2312" w:eastAsia="仿宋_GB2312" w:cs="仿宋_GB2312"/>
          <w:b/>
          <w:bCs/>
          <w:sz w:val="24"/>
          <w:highlight w:val="none"/>
        </w:rPr>
        <w:t>年</w:t>
      </w:r>
      <w:r>
        <w:rPr>
          <w:rFonts w:hint="eastAsia" w:ascii="仿宋_GB2312" w:hAnsi="仿宋_GB2312" w:eastAsia="仿宋_GB2312" w:cs="仿宋_GB2312"/>
          <w:b/>
          <w:bCs/>
          <w:sz w:val="24"/>
          <w:highlight w:val="none"/>
          <w:lang w:val="en-US" w:eastAsia="zh-CN"/>
        </w:rPr>
        <w:t>4</w:t>
      </w:r>
      <w:r>
        <w:rPr>
          <w:rFonts w:hint="eastAsia" w:ascii="仿宋_GB2312" w:hAnsi="仿宋_GB2312" w:eastAsia="仿宋_GB2312" w:cs="仿宋_GB2312"/>
          <w:b/>
          <w:bCs/>
          <w:sz w:val="24"/>
          <w:highlight w:val="none"/>
        </w:rPr>
        <w:t>月</w:t>
      </w:r>
      <w:r>
        <w:rPr>
          <w:rFonts w:hint="eastAsia" w:ascii="仿宋_GB2312" w:hAnsi="仿宋_GB2312" w:eastAsia="仿宋_GB2312" w:cs="仿宋_GB2312"/>
          <w:b/>
          <w:bCs/>
          <w:sz w:val="24"/>
          <w:highlight w:val="none"/>
          <w:lang w:val="en-US" w:eastAsia="zh-CN"/>
        </w:rPr>
        <w:t>21</w:t>
      </w:r>
      <w:r>
        <w:rPr>
          <w:rFonts w:hint="eastAsia" w:ascii="仿宋_GB2312" w:hAnsi="仿宋_GB2312" w:eastAsia="仿宋_GB2312" w:cs="仿宋_GB2312"/>
          <w:b/>
          <w:bCs/>
          <w:sz w:val="24"/>
          <w:highlight w:val="none"/>
        </w:rPr>
        <w:t>日</w:t>
      </w:r>
      <w:r>
        <w:rPr>
          <w:rFonts w:hint="eastAsia" w:ascii="仿宋_GB2312" w:hAnsi="仿宋_GB2312" w:eastAsia="仿宋_GB2312" w:cs="仿宋_GB2312"/>
          <w:b/>
          <w:bCs/>
          <w:sz w:val="24"/>
          <w:highlight w:val="none"/>
          <w:lang w:val="en-US" w:eastAsia="zh-CN"/>
        </w:rPr>
        <w:t>15</w:t>
      </w:r>
      <w:r>
        <w:rPr>
          <w:rFonts w:hint="eastAsia" w:ascii="仿宋_GB2312" w:hAnsi="仿宋_GB2312" w:eastAsia="仿宋_GB2312" w:cs="仿宋_GB2312"/>
          <w:b/>
          <w:bCs/>
          <w:sz w:val="24"/>
          <w:highlight w:val="none"/>
        </w:rPr>
        <w:t>:</w:t>
      </w:r>
      <w:r>
        <w:rPr>
          <w:rFonts w:hint="eastAsia" w:ascii="仿宋_GB2312" w:hAnsi="仿宋_GB2312" w:eastAsia="仿宋_GB2312" w:cs="仿宋_GB2312"/>
          <w:b/>
          <w:bCs/>
          <w:sz w:val="24"/>
          <w:highlight w:val="none"/>
          <w:lang w:val="en-US" w:eastAsia="zh-CN"/>
        </w:rPr>
        <w:t xml:space="preserve">00  </w:t>
      </w:r>
    </w:p>
    <w:p w14:paraId="126E1F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开标地点：川投（资阳）燃气发电有限公司</w:t>
      </w:r>
      <w:r>
        <w:rPr>
          <w:rFonts w:hint="eastAsia" w:ascii="仿宋_GB2312" w:hAnsi="仿宋_GB2312" w:eastAsia="仿宋_GB2312" w:cs="仿宋_GB2312"/>
          <w:sz w:val="24"/>
          <w:lang w:val="en-US" w:eastAsia="zh-CN"/>
        </w:rPr>
        <w:t>综合楼</w:t>
      </w:r>
      <w:r>
        <w:rPr>
          <w:rFonts w:hint="eastAsia" w:ascii="仿宋_GB2312" w:hAnsi="仿宋_GB2312" w:eastAsia="仿宋_GB2312" w:cs="仿宋_GB2312"/>
          <w:sz w:val="24"/>
        </w:rPr>
        <w:t>2楼会议室</w:t>
      </w:r>
    </w:p>
    <w:p w14:paraId="06B35A0F">
      <w:pPr>
        <w:numPr>
          <w:ilvl w:val="0"/>
          <w:numId w:val="2"/>
        </w:numPr>
        <w:spacing w:line="560" w:lineRule="exact"/>
        <w:ind w:left="0" w:leftChars="0" w:firstLine="420" w:firstLineChars="0"/>
        <w:outlineLvl w:val="1"/>
        <w:rPr>
          <w:rFonts w:hint="eastAsia" w:ascii="宋体" w:hAnsi="宋体" w:eastAsia="宋体" w:cs="宋体"/>
          <w:b/>
          <w:bCs/>
          <w:kern w:val="2"/>
          <w:sz w:val="24"/>
          <w:lang w:val="en-US" w:eastAsia="zh-CN"/>
        </w:rPr>
      </w:pPr>
      <w:bookmarkStart w:id="40" w:name="_Toc17023"/>
      <w:bookmarkStart w:id="41" w:name="_Toc9816"/>
      <w:bookmarkStart w:id="42" w:name="_Toc1363"/>
      <w:bookmarkStart w:id="43" w:name="_Toc29622"/>
      <w:bookmarkStart w:id="44" w:name="_Toc5542"/>
      <w:bookmarkStart w:id="45" w:name="_Toc30891"/>
      <w:bookmarkStart w:id="46" w:name="_Toc19785"/>
      <w:r>
        <w:rPr>
          <w:rFonts w:hint="eastAsia" w:ascii="宋体" w:hAnsi="宋体" w:eastAsia="宋体" w:cs="宋体"/>
          <w:b/>
          <w:bCs/>
          <w:kern w:val="2"/>
          <w:sz w:val="24"/>
          <w:lang w:val="en-US" w:eastAsia="zh-CN"/>
        </w:rPr>
        <w:t>发布公告的媒介</w:t>
      </w:r>
      <w:bookmarkEnd w:id="40"/>
      <w:bookmarkEnd w:id="41"/>
      <w:bookmarkEnd w:id="42"/>
      <w:bookmarkEnd w:id="43"/>
      <w:bookmarkEnd w:id="44"/>
      <w:bookmarkEnd w:id="45"/>
      <w:bookmarkEnd w:id="46"/>
    </w:p>
    <w:p w14:paraId="719218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在天府阳光采购服务平台（http://scny.tfygcgfw.com/）、川投（资阳）燃气发电有限公司（ https://www.scnyfzzyqd.cn/）上发布公告。</w:t>
      </w:r>
    </w:p>
    <w:p w14:paraId="55EE7478">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20" w:firstLineChars="0"/>
        <w:textAlignment w:val="auto"/>
        <w:outlineLvl w:val="1"/>
        <w:rPr>
          <w:rFonts w:hint="eastAsia" w:ascii="宋体" w:hAnsi="宋体" w:eastAsia="宋体" w:cs="宋体"/>
          <w:b/>
          <w:bCs/>
          <w:kern w:val="2"/>
          <w:sz w:val="24"/>
          <w:lang w:val="en-US" w:eastAsia="zh-CN"/>
        </w:rPr>
      </w:pPr>
      <w:bookmarkStart w:id="47" w:name="_Toc31366"/>
      <w:bookmarkStart w:id="48" w:name="_Toc10696"/>
      <w:bookmarkStart w:id="49" w:name="_Toc29669"/>
      <w:bookmarkStart w:id="50" w:name="_Toc27799"/>
      <w:bookmarkStart w:id="51" w:name="_Toc13188"/>
      <w:bookmarkStart w:id="52" w:name="_Toc17140"/>
      <w:bookmarkStart w:id="53" w:name="_Toc26200"/>
      <w:bookmarkStart w:id="54" w:name="bookmark189"/>
      <w:r>
        <w:rPr>
          <w:rFonts w:hint="eastAsia" w:ascii="宋体" w:hAnsi="宋体" w:eastAsia="宋体" w:cs="宋体"/>
          <w:b/>
          <w:bCs/>
          <w:kern w:val="2"/>
          <w:sz w:val="24"/>
          <w:lang w:val="en-US" w:eastAsia="zh-CN"/>
        </w:rPr>
        <w:t>联系方式</w:t>
      </w:r>
      <w:bookmarkEnd w:id="47"/>
      <w:bookmarkEnd w:id="48"/>
      <w:bookmarkEnd w:id="49"/>
      <w:bookmarkEnd w:id="50"/>
      <w:bookmarkEnd w:id="51"/>
      <w:bookmarkEnd w:id="52"/>
      <w:bookmarkEnd w:id="53"/>
    </w:p>
    <w:p w14:paraId="17D7A7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采购人：川投（资阳）燃气发电有限公司</w:t>
      </w:r>
    </w:p>
    <w:p w14:paraId="329941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地  址：四川省资阳市安岳县永顺镇永安路218号川投（资阳）燃气发电有限公司A大门综合楼2楼（经营管理部）</w:t>
      </w:r>
    </w:p>
    <w:p w14:paraId="38D12F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 xml:space="preserve">邮政编码：642350    </w:t>
      </w:r>
    </w:p>
    <w:p w14:paraId="7E95D16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联 系 人：殷老师</w:t>
      </w:r>
    </w:p>
    <w:p w14:paraId="4B5AB4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邮    箱：913661814@qq.com</w:t>
      </w:r>
    </w:p>
    <w:p w14:paraId="64F696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电    话：028-24979028（座机）、18200425254（手机）</w:t>
      </w:r>
    </w:p>
    <w:p w14:paraId="3529CAF6">
      <w:pPr>
        <w:keepNext w:val="0"/>
        <w:keepLines w:val="0"/>
        <w:pageBreakBefore w:val="0"/>
        <w:widowControl w:val="0"/>
        <w:tabs>
          <w:tab w:val="left" w:pos="7740"/>
        </w:tabs>
        <w:kinsoku/>
        <w:wordWrap/>
        <w:overflowPunct/>
        <w:topLinePunct w:val="0"/>
        <w:autoSpaceDE/>
        <w:autoSpaceDN/>
        <w:bidi w:val="0"/>
        <w:adjustRightInd/>
        <w:snapToGrid/>
        <w:spacing w:before="625" w:beforeLines="200" w:line="480" w:lineRule="exact"/>
        <w:ind w:firstLine="5040" w:firstLineChars="2100"/>
        <w:jc w:val="righ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川投（资阳）燃气发电有限公司</w:t>
      </w:r>
    </w:p>
    <w:p w14:paraId="0C802D38">
      <w:pPr>
        <w:pStyle w:val="4"/>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highlight w:val="none"/>
        </w:rPr>
        <w:sectPr>
          <w:headerReference r:id="rId4" w:type="first"/>
          <w:footerReference r:id="rId6" w:type="first"/>
          <w:headerReference r:id="rId3" w:type="default"/>
          <w:footerReference r:id="rId5" w:type="default"/>
          <w:pgSz w:w="11906" w:h="16838"/>
          <w:pgMar w:top="1304" w:right="1417" w:bottom="1304" w:left="1417" w:header="851" w:footer="992" w:gutter="0"/>
          <w:cols w:space="425" w:num="1"/>
          <w:titlePg/>
          <w:docGrid w:type="lines" w:linePitch="312" w:charSpace="0"/>
        </w:sectPr>
      </w:pPr>
      <w:r>
        <w:rPr>
          <w:rFonts w:hint="eastAsia" w:ascii="仿宋_GB2312" w:hAnsi="仿宋_GB2312" w:eastAsia="仿宋_GB2312" w:cs="仿宋_GB2312"/>
          <w:sz w:val="24"/>
          <w:lang w:val="en-US" w:eastAsia="zh-CN"/>
        </w:rPr>
        <w:t xml:space="preserve">                                           </w:t>
      </w:r>
      <w:bookmarkStart w:id="55" w:name="_GoBack"/>
      <w:bookmarkEnd w:id="55"/>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highlight w:val="none"/>
        </w:rPr>
        <w:t>202</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lang w:val="en-US" w:eastAsia="zh-CN"/>
        </w:rPr>
        <w:t>13</w:t>
      </w:r>
      <w:r>
        <w:rPr>
          <w:rFonts w:hint="eastAsia" w:ascii="仿宋_GB2312" w:hAnsi="仿宋_GB2312" w:eastAsia="仿宋_GB2312" w:cs="仿宋_GB2312"/>
          <w:sz w:val="24"/>
          <w:highlight w:val="none"/>
        </w:rPr>
        <w:t>日</w:t>
      </w:r>
    </w:p>
    <w:bookmarkEnd w:id="54"/>
    <w:p w14:paraId="60F934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725F1EF-B046-4576-B3B7-30CA4339B78C}"/>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2" w:fontKey="{64C4BDC3-1467-456F-AB07-860019D0EE8C}"/>
  </w:font>
  <w:font w:name="仿宋_GB2312">
    <w:panose1 w:val="02010609030101010101"/>
    <w:charset w:val="86"/>
    <w:family w:val="modern"/>
    <w:pitch w:val="default"/>
    <w:sig w:usb0="00000001" w:usb1="080E0000" w:usb2="00000000" w:usb3="00000000" w:csb0="00040000" w:csb1="00000000"/>
    <w:embedRegular r:id="rId3" w:fontKey="{18BB1B87-7E84-402E-9554-5E3E6B52EC29}"/>
  </w:font>
  <w:font w:name="方正仿宋_GB2312">
    <w:panose1 w:val="02000000000000000000"/>
    <w:charset w:val="86"/>
    <w:family w:val="auto"/>
    <w:pitch w:val="default"/>
    <w:sig w:usb0="A00002BF" w:usb1="184F6CFA" w:usb2="00000012" w:usb3="00000000" w:csb0="00040001" w:csb1="00000000"/>
    <w:embedRegular r:id="rId4" w:fontKey="{E5ED4ABB-6E3A-4875-A3DE-117DD0D530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843BF">
    <w:pPr>
      <w:pStyle w:val="6"/>
      <w:ind w:right="360"/>
      <w:rPr>
        <w:rStyle w:val="1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2B55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F2B55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E31AD">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CF61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F0CF61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9B29">
    <w:pPr>
      <w:spacing w:line="360" w:lineRule="auto"/>
      <w:rPr>
        <w:rStyle w:val="11"/>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B0EF9">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C6EB5"/>
    <w:multiLevelType w:val="singleLevel"/>
    <w:tmpl w:val="966C6EB5"/>
    <w:lvl w:ilvl="0" w:tentative="0">
      <w:start w:val="1"/>
      <w:numFmt w:val="chineseCounting"/>
      <w:suff w:val="nothing"/>
      <w:lvlText w:val="（%1）"/>
      <w:lvlJc w:val="left"/>
      <w:pPr>
        <w:ind w:left="0" w:firstLine="420"/>
      </w:pPr>
      <w:rPr>
        <w:rFonts w:hint="eastAsia"/>
      </w:rPr>
    </w:lvl>
  </w:abstractNum>
  <w:abstractNum w:abstractNumId="1">
    <w:nsid w:val="BA67890D"/>
    <w:multiLevelType w:val="singleLevel"/>
    <w:tmpl w:val="BA67890D"/>
    <w:lvl w:ilvl="0" w:tentative="0">
      <w:start w:val="1"/>
      <w:numFmt w:val="chineseCounting"/>
      <w:suff w:val="nothing"/>
      <w:lvlText w:val="（%1）"/>
      <w:lvlJc w:val="left"/>
      <w:pPr>
        <w:ind w:left="0" w:firstLine="420"/>
      </w:pPr>
      <w:rPr>
        <w:rFonts w:hint="eastAsia"/>
      </w:rPr>
    </w:lvl>
  </w:abstractNum>
  <w:abstractNum w:abstractNumId="2">
    <w:nsid w:val="DB411A28"/>
    <w:multiLevelType w:val="singleLevel"/>
    <w:tmpl w:val="DB411A28"/>
    <w:lvl w:ilvl="0" w:tentative="0">
      <w:start w:val="1"/>
      <w:numFmt w:val="chineseCounting"/>
      <w:suff w:val="nothing"/>
      <w:lvlText w:val="%1、"/>
      <w:lvlJc w:val="left"/>
      <w:pPr>
        <w:ind w:left="0" w:firstLine="420"/>
      </w:pPr>
      <w:rPr>
        <w:rFonts w:hint="eastAsia"/>
      </w:rPr>
    </w:lvl>
  </w:abstractNum>
  <w:abstractNum w:abstractNumId="3">
    <w:nsid w:val="DDD0D2FD"/>
    <w:multiLevelType w:val="singleLevel"/>
    <w:tmpl w:val="DDD0D2FD"/>
    <w:lvl w:ilvl="0" w:tentative="0">
      <w:start w:val="1"/>
      <w:numFmt w:val="chineseCounting"/>
      <w:suff w:val="nothing"/>
      <w:lvlText w:val="（%1）"/>
      <w:lvlJc w:val="left"/>
      <w:pPr>
        <w:ind w:left="0" w:firstLine="420"/>
      </w:pPr>
      <w:rPr>
        <w:rFonts w:hint="eastAsia"/>
      </w:rPr>
    </w:lvl>
  </w:abstractNum>
  <w:abstractNum w:abstractNumId="4">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7C140DE2"/>
    <w:multiLevelType w:val="singleLevel"/>
    <w:tmpl w:val="7C140DE2"/>
    <w:lvl w:ilvl="0" w:tentative="0">
      <w:start w:val="1"/>
      <w:numFmt w:val="chineseCounting"/>
      <w:suff w:val="nothing"/>
      <w:lvlText w:val="（%1）"/>
      <w:lvlJc w:val="left"/>
      <w:rPr>
        <w:rFonts w:hint="eastAsia"/>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41F07"/>
    <w:rsid w:val="61DA6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4">
    <w:name w:val="Body Text"/>
    <w:basedOn w:val="1"/>
    <w:next w:val="5"/>
    <w:qFormat/>
    <w:uiPriority w:val="0"/>
    <w:pPr>
      <w:spacing w:after="120"/>
    </w:pPr>
  </w:style>
  <w:style w:type="paragraph" w:styleId="5">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页眉 Char"/>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2026-04-13T07:57:21Z</dcterms:created>
  <dc:creator>Lenovo</dc:creator>
  <cp:lastModifiedBy>殷子渊</cp:lastModifiedBy>
  <dcterms:modified xsi:type="dcterms:W3CDTF">2026-04-13T07:58:03Z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eyJoZGlkIjoiYzhkOTcyZjZiZTBmZTBhMGMxM2QyMzA3MzM0ZGFhNWYiLCJ1c2VySWQiOiIzNjg4MjY3MTcifQ==</vt:lpwstr>
  </property>
  <property fmtid="{D5CDD505-2E9C-101B-9397-08002B2CF9AE}" pid="4" name="ICV">
    <vt:lpwstr>8D84FB644B3E4C35A70957F7C99D22A2_12</vt:lpwstr>
  </property>
</Properties>
</file>